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2018 году (за отчетный 2017 год)</w:t>
      </w:r>
    </w:p>
    <w:p>
      <w:pPr>
        <w:pStyle w:val="style0"/>
        <w:ind w:firstLine="709" w:left="0" w:right="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ind w:firstLine="709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течение последних лет является устоявшейся практика подготовки Министерством труда и социальной защиты Российской Федерации ежегодно обновляемых Методических рекомендаций по вопросам представления сведений о доходах, расходах, об имуществе и обязательствах имущественного характ</w:t>
      </w:r>
      <w:bookmarkStart w:id="0" w:name="_GoBack"/>
      <w:bookmarkEnd w:id="0"/>
      <w:r>
        <w:rPr>
          <w:rFonts w:ascii="Times New Roman" w:cs="Times New Roman" w:hAnsi="Times New Roman"/>
          <w:sz w:val="28"/>
          <w:szCs w:val="28"/>
        </w:rPr>
        <w:t>ера и заполнения соответствующей формы справки,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>
      <w:pPr>
        <w:pStyle w:val="style0"/>
        <w:ind w:firstLine="709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Методические рекомендации для применения в ходе декларационной кампании 2018 года (за отчетный 2017 год) подготовлены Министерством при участии Администрации Президента Российской Федерации и Генеральной прокуратуры Российской Федерации.</w:t>
      </w:r>
    </w:p>
    <w:p>
      <w:pPr>
        <w:pStyle w:val="style0"/>
        <w:ind w:firstLine="709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</w:rPr>
        <w:t xml:space="preserve">Указано на возможность представления сведений в отношении несовершеннолетнего ребенка в случае, если </w:t>
      </w:r>
      <w:r>
        <w:rPr>
          <w:rFonts w:ascii="Times New Roman" w:hAnsi="Times New Roman"/>
          <w:sz w:val="28"/>
          <w:szCs w:val="28"/>
        </w:rPr>
        <w:t>лицо, представляющее сведения, является опекуном (попечителем) или его супруга (супруг) является опекуном (попечителем), усыновителем такого несовершеннолетнего ребенка.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1 пункта 35 </w:t>
      </w:r>
      <w:r>
        <w:rPr>
          <w:rFonts w:ascii="Times New Roman" w:cs="Times New Roman" w:hAnsi="Times New Roman"/>
          <w:sz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изменен подход заполнения титульного листа справки: фамилия, имя и отчество указываются в именительном падеже.</w:t>
      </w:r>
    </w:p>
    <w:p>
      <w:pPr>
        <w:pStyle w:val="style0"/>
        <w:ind w:firstLine="709" w:left="0" w:right="0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Подпункт 3 пункта 35 </w:t>
      </w:r>
      <w:r>
        <w:rPr>
          <w:rFonts w:ascii="Times New Roman" w:cs="Times New Roman" w:hAnsi="Times New Roman"/>
          <w:sz w:val="28"/>
        </w:rPr>
        <w:t>Методических рекомендаций дополнен положениями при представлении сведений в отношении отдельных категорий лиц.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 подход к определению понятия «доход» в рамках антикоррупционного законодательства Российской Федерации.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41 предусматривает определение понятия «доход» в отношении лица, являющегося нотариусом, занимающимся частной практикой.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пункте 53 указано, что денежные средства, выплачиваемые кредитной организацией вкладчику (владельцу счета) при закрытии вклада (счета), в том числе обезличенного металлического счета, за исключением процентов по вкладу (счету), не подлежат отражению.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дополнены случаями, при которых подлежит заполнению строка 6 «Иные доходы» раздела 1 справки, а также случаями, при которых отражение денежных средств в справке не требуется.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 62 Методических рекомендаций предусмотрен порядок расчета общего дохода в целях представления сведений о расходах.</w:t>
      </w:r>
    </w:p>
    <w:p>
      <w:pPr>
        <w:sectPr>
          <w:headerReference r:id="rId2" w:type="default"/>
          <w:type w:val="nextPage"/>
          <w:pgSz w:h="16838" w:w="11906"/>
          <w:pgMar w:bottom="1134" w:footer="0" w:gutter="0" w:header="708" w:left="1701" w:right="850" w:top="1134"/>
          <w:pgNumType w:fmt="decimal"/>
          <w:formProt w:val="false"/>
          <w:titlePg/>
          <w:textDirection w:val="lrTb"/>
          <w:docGrid w:charSpace="1842" w:linePitch="360" w:type="default"/>
        </w:sect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85 Методических рекомендаций отмечено, что в рамках антикоррупционного законодательства совместным признается имущество, соответствующая информация о котором отражена в правоустанавливающих документах.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102 предусмотрено, что в графе «Наименование и адрес банка или иной кредитной организации» раздела 4 справки рекомендуется указывать юридический адрес отделения банка или иной кредитной организации, в котором был открыт соответствующий счет.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114 Методических рекомендаций отмечено, что вклады «Классический», «Выгодный», «Комфортный» и др., как правило, являются депозитными счетами.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116 Методических рекомендаций указан порядок отражения счетов, открываемых депозитариями.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Пунктами 124-126 Методических рекомендаций предусмотрен порядок действий в случае отзыва лицензии у кредитной организации.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 138 Методических рекомендаций уточнен порядок представления сведений об объектах незавершенного строительства, а также об имуществе, по адресу которого имеется регистрация.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 143 Методических рекомендаций дополнен положениями, согласно которым рекомендуется указывать фамилию, имя и отчество лица, предоставившего объект недвижимого имущества в пользование.</w:t>
      </w:r>
    </w:p>
    <w:p>
      <w:pPr>
        <w:pStyle w:val="style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</w:rPr>
        <w:t xml:space="preserve">Положения Методических рекомендаций предусматривают порядок представления сведений </w:t>
      </w:r>
      <w:r>
        <w:rPr>
          <w:rFonts w:ascii="Times New Roman" w:hAnsi="Times New Roman"/>
          <w:sz w:val="28"/>
          <w:szCs w:val="28"/>
        </w:rPr>
        <w:t>о недвижимом имуществе, транспортных средствах и ценных бумагах, отчужденных в течение отчетного периода в результате безвозмездной сделки.</w:t>
      </w:r>
    </w:p>
    <w:p>
      <w:pPr>
        <w:pStyle w:val="style0"/>
        <w:ind w:firstLine="709" w:left="0" w:right="0"/>
        <w:jc w:val="both"/>
        <w:rPr/>
      </w:pPr>
      <w:r>
        <w:rPr/>
      </w:r>
    </w:p>
    <w:sectPr>
      <w:headerReference r:id="rId3" w:type="default"/>
      <w:type w:val="nextPage"/>
      <w:pgSz w:h="16838" w:w="11906"/>
      <w:pgMar w:bottom="1134" w:footer="0" w:gutter="0" w:header="708" w:left="1701" w:right="850" w:top="1134"/>
      <w:pgNumType w:fmt="decimal"/>
      <w:formProt w:val="false"/>
      <w:textDirection w:val="lrTb"/>
      <w:docGrid w:charSpace="184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5"/>
      <w:rPr>
        <w:rFonts w:ascii="Times New Roman" w:cs="Times New Roman" w:hAnsi="Times New Roman"/>
        <w:sz w:val="28"/>
      </w:rPr>
    </w:pPr>
    <w:r>
      <w:rPr>
        <w:rFonts w:ascii="Times New Roman" w:cs="Times New Roman" w:hAnsi="Times New Roman"/>
        <w:sz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5"/>
      <w:rPr>
        <w:rFonts w:ascii="Times New Roman" w:cs="Times New Roman" w:hAnsi="Times New Roman"/>
        <w:sz w:val="28"/>
      </w:rPr>
    </w:pPr>
    <w:r>
      <w:rPr>
        <w:rFonts w:ascii="Times New Roman" w:cs="Times New Roman" w:hAnsi="Times New Roman"/>
        <w:sz w:val="28"/>
      </w:rPr>
    </w:r>
  </w:p>
</w:hdr>
</file>

<file path=word/settings.xml><?xml version="1.0" encoding="utf-8"?>
<w:settings xmlns:w="http://schemas.openxmlformats.org/wordprocessingml/2006/main">
  <w:zoom w:percent="96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  <w:jc w:val="left"/>
    </w:pPr>
    <w:rPr>
      <w:rFonts w:ascii="Calibri" w:cs="Calibri" w:eastAsia="Calibri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/>
  </w:style>
  <w:style w:styleId="style17" w:type="character">
    <w:name w:val="Нижний колонтитул Знак"/>
    <w:basedOn w:val="style15"/>
    <w:next w:val="style17"/>
    <w:rPr/>
  </w:style>
  <w:style w:styleId="style18" w:type="character">
    <w:name w:val="ListLabel 1"/>
    <w:next w:val="style18"/>
    <w:rPr>
      <w:sz w:val="28"/>
      <w:szCs w:val="28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Liberation Sans" w:cs="Mangal" w:eastAsia="Lucida Sans Unicode" w:hAnsi="Liberation Sans"/>
      <w:sz w:val="28"/>
      <w:szCs w:val="28"/>
    </w:rPr>
  </w:style>
  <w:style w:styleId="style20" w:type="paragraph">
    <w:name w:val="Основной текст"/>
    <w:basedOn w:val="style0"/>
    <w:next w:val="style20"/>
    <w:pPr>
      <w:spacing w:after="140" w:before="0" w:line="288" w:lineRule="auto"/>
      <w:contextualSpacing w:val="false"/>
    </w:pPr>
    <w:rPr/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spacing w:after="0" w:before="0"/>
      <w:ind w:firstLine="709" w:left="720" w:right="0"/>
      <w:contextualSpacing/>
      <w:jc w:val="both"/>
    </w:pPr>
    <w:rPr/>
  </w:style>
  <w:style w:styleId="style25" w:type="paragraph">
    <w:name w:val="Верхний колонтитул"/>
    <w:basedOn w:val="style0"/>
    <w:next w:val="style25"/>
    <w:pPr>
      <w:tabs>
        <w:tab w:leader="none" w:pos="4677" w:val="center"/>
        <w:tab w:leader="none" w:pos="9355" w:val="right"/>
      </w:tabs>
    </w:pPr>
    <w:rPr/>
  </w:style>
  <w:style w:styleId="style26" w:type="paragraph">
    <w:name w:val="Нижний колонтитул"/>
    <w:basedOn w:val="style0"/>
    <w:next w:val="style26"/>
    <w:pPr>
      <w:tabs>
        <w:tab w:leader="none" w:pos="4677" w:val="center"/>
        <w:tab w:leader="none" w:pos="9355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LibreOffice/5.1.3.2$Windows_x86 LibreOffice_project/644e4637d1d8544fd9f56425bd6cec110e49301b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2016-12-13T07:29:00Z</dcterms:created>
  <dc:creator>TuguchevNM</dc:creator>
  <dc:language>ru</dc:language>
  <cp:lastModifiedBy>Правки 3</cp:lastModifiedBy>
  <cp:lastPrinted>2017-12-27T15:21:00Z</cp:lastPrinted>
  <dcterms:modified xsi:type="dcterms:W3CDTF">2017-12-27T15:47:00Z</dcterms:modified>
  <cp:revision>2</cp:revision>
</cp:coreProperties>
</file>